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606C7" w14:textId="3116F049" w:rsidR="00D70C06" w:rsidRDefault="00D70C06" w:rsidP="00D70C06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sz w:val="26"/>
          <w:szCs w:val="26"/>
        </w:rPr>
        <w:drawing>
          <wp:inline distT="0" distB="0" distL="0" distR="0" wp14:anchorId="580CE77A" wp14:editId="332C834C">
            <wp:extent cx="2211049" cy="77036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tho-wordmark-combo-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009" cy="78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11C0" w14:textId="77777777" w:rsidR="00D70C06" w:rsidRDefault="00D70C06" w:rsidP="00362FB6">
      <w:pPr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</w:pPr>
    </w:p>
    <w:p w14:paraId="7351793A" w14:textId="36507D66" w:rsidR="00362FB6" w:rsidRPr="008A3CA8" w:rsidRDefault="00362FB6" w:rsidP="00D70C06">
      <w:pPr>
        <w:jc w:val="center"/>
        <w:rPr>
          <w:rFonts w:ascii="Neutraface Text Book" w:eastAsia="Times New Roman" w:hAnsi="Neutraface Text Book" w:cs="Times New Roman"/>
          <w:color w:val="000000" w:themeColor="text1"/>
        </w:rPr>
      </w:pPr>
      <w:r w:rsidRPr="008A3CA8">
        <w:rPr>
          <w:rFonts w:ascii="Neutraface Text Book" w:eastAsia="Times New Roman" w:hAnsi="Neutraface Text Book" w:cs="Calibri"/>
          <w:b/>
          <w:bCs/>
          <w:color w:val="000000" w:themeColor="text1"/>
        </w:rPr>
        <w:t>Visiting Medical Student Scholarship for Underrepresented Minorities in Orthopedic</w:t>
      </w:r>
      <w:r w:rsidR="00AE0BC7">
        <w:rPr>
          <w:rFonts w:ascii="Neutraface Text Book" w:eastAsia="Times New Roman" w:hAnsi="Neutraface Text Book" w:cs="Calibri"/>
          <w:b/>
          <w:bCs/>
          <w:color w:val="000000" w:themeColor="text1"/>
        </w:rPr>
        <w:t xml:space="preserve"> Surgery</w:t>
      </w:r>
    </w:p>
    <w:p w14:paraId="17A48EBF" w14:textId="77777777" w:rsidR="00362FB6" w:rsidRPr="00D70C06" w:rsidRDefault="00362FB6" w:rsidP="00362FB6">
      <w:pPr>
        <w:rPr>
          <w:rFonts w:ascii="Neutraface Text Book" w:eastAsia="Times New Roman" w:hAnsi="Neutraface Text Book" w:cs="Times New Roman"/>
          <w:color w:val="000000" w:themeColor="text1"/>
        </w:rPr>
      </w:pPr>
    </w:p>
    <w:p w14:paraId="1F0505CA" w14:textId="44D987D3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  <w:bookmarkStart w:id="0" w:name="_GoBack"/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The University of Minnesota is committed to achieving excellence through equity and diversity. We value having divers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e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views and experiences that enrich our academics and our profession as a whole. 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The 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Department of Orthopedic Surgery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,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in conjunction with the Medical School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,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has the goal of creating an atmosphere where differences are valued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,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lead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ing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to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a culturally competent healthcare workforce qualified to meet the needs of the varied populations we serve.  </w:t>
      </w:r>
    </w:p>
    <w:p w14:paraId="1EBBC60A" w14:textId="77777777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</w:p>
    <w:p w14:paraId="24A93531" w14:textId="72206660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Our scholarship provides financial assistance for upcoming 3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rd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  <w:vertAlign w:val="superscript"/>
        </w:rPr>
        <w:t>rd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and 4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th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  <w:vertAlign w:val="superscript"/>
        </w:rPr>
        <w:t>th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year medical students (class of 2021 and 2022) who are planning a career in orthopedic surgery, and want to do a four-week away rotation at our site. Diverse students whose backgrounds and/or identities are underrepresented in orthopedics are encouraged to apply. The chosen applicants will be given a stipend of $1,000 to be used towards their lodging and/or travel expenses.  </w:t>
      </w:r>
    </w:p>
    <w:bookmarkEnd w:id="0"/>
    <w:p w14:paraId="0A6A5E30" w14:textId="77777777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</w:p>
    <w:p w14:paraId="2DAC128F" w14:textId="10E6B235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Once the application deadline has passed, five scholarship applicants will be selected to be interviewed. Two applicants will be selected for the scholarship for the 20</w:t>
      </w:r>
      <w:r w:rsidR="004E3B7F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20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-202</w:t>
      </w:r>
      <w:r w:rsidR="004E3B7F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1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academic year.</w:t>
      </w:r>
    </w:p>
    <w:p w14:paraId="3D50B77D" w14:textId="77777777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</w:p>
    <w:p w14:paraId="5C9C1172" w14:textId="7CBBD0F9" w:rsidR="00362FB6" w:rsidRPr="008A3CA8" w:rsidRDefault="00611ED3" w:rsidP="00362FB6">
      <w:pPr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To fill out an application for this scholarship</w:t>
      </w:r>
      <w:r w:rsidR="00A11624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click </w:t>
      </w:r>
      <w:hyperlink r:id="rId6" w:history="1">
        <w:r w:rsidR="00A11624" w:rsidRPr="008A3CA8">
          <w:rPr>
            <w:rStyle w:val="Hyperlink"/>
            <w:rFonts w:ascii="Neutraface Text Book" w:eastAsia="Times New Roman" w:hAnsi="Neutraface Text Book" w:cs="Calibri"/>
            <w:sz w:val="22"/>
            <w:szCs w:val="22"/>
          </w:rPr>
          <w:t>here</w:t>
        </w:r>
      </w:hyperlink>
      <w:r w:rsidR="00A11624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.</w:t>
      </w:r>
    </w:p>
    <w:p w14:paraId="6A5636DA" w14:textId="336E7286" w:rsidR="00362FB6" w:rsidRPr="008A3CA8" w:rsidRDefault="00F009A8" w:rsidP="00362FB6">
      <w:pPr>
        <w:rPr>
          <w:rFonts w:ascii="Neutraface Text Book" w:eastAsia="Times New Roman" w:hAnsi="Neutraface Text Book" w:cstheme="minorHAnsi"/>
          <w:b/>
          <w:color w:val="000000" w:themeColor="text1"/>
          <w:sz w:val="22"/>
          <w:szCs w:val="22"/>
        </w:rPr>
      </w:pPr>
      <w:hyperlink r:id="rId7" w:tgtFrame="_blank" w:history="1"/>
    </w:p>
    <w:p w14:paraId="08832D61" w14:textId="77777777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Requirements:</w:t>
      </w:r>
    </w:p>
    <w:p w14:paraId="2B709019" w14:textId="57CAF01D" w:rsidR="00362FB6" w:rsidRPr="008A3CA8" w:rsidRDefault="00362FB6" w:rsidP="00362FB6">
      <w:pPr>
        <w:numPr>
          <w:ilvl w:val="0"/>
          <w:numId w:val="1"/>
        </w:numPr>
        <w:textAlignment w:val="baseline"/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Must be an upcoming 3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rd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  <w:vertAlign w:val="superscript"/>
        </w:rPr>
        <w:t>rd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or 4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th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  <w:vertAlign w:val="superscript"/>
        </w:rPr>
        <w:t>th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year medical student</w:t>
      </w:r>
    </w:p>
    <w:p w14:paraId="1854C8DB" w14:textId="77777777" w:rsidR="00362FB6" w:rsidRPr="008A3CA8" w:rsidRDefault="00362FB6" w:rsidP="00362FB6">
      <w:pPr>
        <w:numPr>
          <w:ilvl w:val="0"/>
          <w:numId w:val="1"/>
        </w:numPr>
        <w:textAlignment w:val="baseline"/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Attend a domestic LCME-accredited medical school</w:t>
      </w:r>
    </w:p>
    <w:p w14:paraId="07AA2EC3" w14:textId="77777777" w:rsidR="00362FB6" w:rsidRPr="008A3CA8" w:rsidRDefault="00362FB6" w:rsidP="00362FB6">
      <w:pPr>
        <w:numPr>
          <w:ilvl w:val="0"/>
          <w:numId w:val="1"/>
        </w:numPr>
        <w:textAlignment w:val="baseline"/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Provide a current CV</w:t>
      </w:r>
    </w:p>
    <w:p w14:paraId="26D0A0F8" w14:textId="77777777" w:rsidR="00362FB6" w:rsidRPr="008A3CA8" w:rsidRDefault="00362FB6" w:rsidP="00362FB6">
      <w:pPr>
        <w:numPr>
          <w:ilvl w:val="0"/>
          <w:numId w:val="1"/>
        </w:numPr>
        <w:textAlignment w:val="baseline"/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Upload an official transcript</w:t>
      </w:r>
    </w:p>
    <w:p w14:paraId="2CBC116D" w14:textId="6FABB3A8" w:rsidR="00362FB6" w:rsidRPr="008A3CA8" w:rsidRDefault="00362FB6" w:rsidP="00362FB6">
      <w:pPr>
        <w:numPr>
          <w:ilvl w:val="0"/>
          <w:numId w:val="1"/>
        </w:numPr>
        <w:textAlignment w:val="baseline"/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Letter of recommendation from a professional reference who can speak to your goals and academic experience (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One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letter of recommendation only)</w:t>
      </w:r>
    </w:p>
    <w:p w14:paraId="45F55971" w14:textId="2C248F22" w:rsidR="00362FB6" w:rsidRPr="008A3CA8" w:rsidRDefault="00362FB6" w:rsidP="00362FB6">
      <w:pPr>
        <w:numPr>
          <w:ilvl w:val="0"/>
          <w:numId w:val="1"/>
        </w:numPr>
        <w:textAlignment w:val="baseline"/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Provide a personal statement addressing how you contribute to diversity in orthopedics</w:t>
      </w:r>
    </w:p>
    <w:p w14:paraId="70750B88" w14:textId="77777777" w:rsidR="00362FB6" w:rsidRPr="008A3CA8" w:rsidRDefault="00362FB6" w:rsidP="00362FB6">
      <w:pPr>
        <w:numPr>
          <w:ilvl w:val="0"/>
          <w:numId w:val="1"/>
        </w:numPr>
        <w:textAlignment w:val="baseline"/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Provide Step 1 score by uploading an USMLE unofficial transcript</w:t>
      </w:r>
    </w:p>
    <w:p w14:paraId="5548452F" w14:textId="075D091B" w:rsidR="00362FB6" w:rsidRPr="008A3CA8" w:rsidRDefault="00362FB6" w:rsidP="00362FB6">
      <w:pPr>
        <w:numPr>
          <w:ilvl w:val="0"/>
          <w:numId w:val="1"/>
        </w:numPr>
        <w:textAlignment w:val="baseline"/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Skype interview; If selected as a top 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five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candidate</w:t>
      </w:r>
    </w:p>
    <w:p w14:paraId="509301C0" w14:textId="77777777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</w:p>
    <w:p w14:paraId="32B70F3F" w14:textId="6004786B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Selection will be based on a holistic approach. Students’ academic achievements, shown leadership, academic research, orthopedic interest, and good academic standings will all be considered when selecting candidates. </w:t>
      </w:r>
    </w:p>
    <w:p w14:paraId="42C5250A" w14:textId="62F834C8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</w:p>
    <w:p w14:paraId="670DCC4C" w14:textId="209125BB" w:rsidR="00362FB6" w:rsidRPr="008A3CA8" w:rsidRDefault="00362FB6" w:rsidP="00362FB6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  <w:t>Application opens on September 1</w:t>
      </w:r>
      <w:r w:rsidRPr="008A3CA8">
        <w:rPr>
          <w:rFonts w:ascii="Neutraface Text Book" w:eastAsia="Times New Roman" w:hAnsi="Neutraface Text Book" w:cs="Times New Roman"/>
          <w:color w:val="000000" w:themeColor="text1"/>
          <w:sz w:val="22"/>
          <w:szCs w:val="22"/>
          <w:vertAlign w:val="superscript"/>
        </w:rPr>
        <w:t>st</w:t>
      </w:r>
      <w:r w:rsidRPr="008A3CA8"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  <w:t>, 2019.</w:t>
      </w:r>
    </w:p>
    <w:p w14:paraId="0AA1B41C" w14:textId="7ED5B370" w:rsidR="009D24C4" w:rsidRPr="008A3CA8" w:rsidRDefault="00362FB6">
      <w:pPr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Deadline for all applications for 2020-2021 academic year are due by December 1, 2019.</w:t>
      </w:r>
    </w:p>
    <w:p w14:paraId="6751C134" w14:textId="466DC8EC" w:rsidR="00E9367C" w:rsidRPr="008A3CA8" w:rsidRDefault="00E9367C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</w:p>
    <w:p w14:paraId="35F56D34" w14:textId="77777777" w:rsidR="00E9367C" w:rsidRPr="008A3CA8" w:rsidRDefault="00E9367C" w:rsidP="00E9367C">
      <w:pPr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If you have any questions regarding this scholarship please contact, </w:t>
      </w:r>
    </w:p>
    <w:p w14:paraId="7CC1E830" w14:textId="268C9157" w:rsidR="00E9367C" w:rsidRPr="008A3CA8" w:rsidRDefault="00E9367C">
      <w:pPr>
        <w:rPr>
          <w:rFonts w:ascii="Neutraface Text Book" w:eastAsia="Times New Roman" w:hAnsi="Neutraface Text Book" w:cs="Times New Roman"/>
          <w:color w:val="000000" w:themeColor="text1"/>
          <w:sz w:val="22"/>
          <w:szCs w:val="22"/>
        </w:rPr>
      </w:pP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>Alyssa Boos</w:t>
      </w:r>
      <w:r w:rsidR="00C03181"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at</w:t>
      </w:r>
      <w:r w:rsidRPr="008A3CA8">
        <w:rPr>
          <w:rFonts w:ascii="Neutraface Text Book" w:eastAsia="Times New Roman" w:hAnsi="Neutraface Text Book" w:cs="Calibri"/>
          <w:color w:val="000000" w:themeColor="text1"/>
          <w:sz w:val="22"/>
          <w:szCs w:val="22"/>
        </w:rPr>
        <w:t xml:space="preserve"> </w:t>
      </w:r>
      <w:hyperlink r:id="rId8" w:history="1">
        <w:r w:rsidRPr="008A3CA8">
          <w:rPr>
            <w:rFonts w:ascii="Neutraface Text Book" w:eastAsia="Times New Roman" w:hAnsi="Neutraface Text Book" w:cs="Calibri"/>
            <w:color w:val="000000" w:themeColor="text1"/>
            <w:sz w:val="22"/>
            <w:szCs w:val="22"/>
          </w:rPr>
          <w:t>boosx015@umn.edu</w:t>
        </w:r>
      </w:hyperlink>
    </w:p>
    <w:sectPr w:rsidR="00E9367C" w:rsidRPr="008A3CA8" w:rsidSect="0036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aface Text Book">
    <w:altName w:val="Calibri"/>
    <w:panose1 w:val="00000000000000000000"/>
    <w:charset w:val="4D"/>
    <w:family w:val="auto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7F9"/>
    <w:multiLevelType w:val="multilevel"/>
    <w:tmpl w:val="1D0C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B6"/>
    <w:rsid w:val="00041335"/>
    <w:rsid w:val="002E7CBA"/>
    <w:rsid w:val="00362FB6"/>
    <w:rsid w:val="00366869"/>
    <w:rsid w:val="004E3B7F"/>
    <w:rsid w:val="00521A3D"/>
    <w:rsid w:val="00611ED3"/>
    <w:rsid w:val="00737479"/>
    <w:rsid w:val="008A3CA8"/>
    <w:rsid w:val="008F34C0"/>
    <w:rsid w:val="00A11624"/>
    <w:rsid w:val="00AE0BC7"/>
    <w:rsid w:val="00C03181"/>
    <w:rsid w:val="00D131E4"/>
    <w:rsid w:val="00D17909"/>
    <w:rsid w:val="00D70C06"/>
    <w:rsid w:val="00E51816"/>
    <w:rsid w:val="00E5636E"/>
    <w:rsid w:val="00E9367C"/>
    <w:rsid w:val="00ED6490"/>
    <w:rsid w:val="00F0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B148"/>
  <w15:chartTrackingRefBased/>
  <w15:docId w15:val="{68F1D0E9-059A-DB4D-85BA-EEA51324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F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62FB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74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sx015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n.qualtrics.com/jfe/form/SV_4YO78dqqitVuG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n.qualtrics.com/jfe/form/SV_4YO78dqqitVuGQ5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Bibbs, Andrea</cp:lastModifiedBy>
  <cp:revision>2</cp:revision>
  <cp:lastPrinted>2019-07-25T12:54:00Z</cp:lastPrinted>
  <dcterms:created xsi:type="dcterms:W3CDTF">2019-07-29T16:44:00Z</dcterms:created>
  <dcterms:modified xsi:type="dcterms:W3CDTF">2019-07-29T16:44:00Z</dcterms:modified>
</cp:coreProperties>
</file>